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annexe-rgpd-dpa"/>
    <w:p>
      <w:pPr>
        <w:pStyle w:val="Heading1"/>
      </w:pPr>
      <w:r>
        <w:t xml:space="preserve">ANNEXE RGPD (DPA)</w:t>
      </w:r>
    </w:p>
    <w:bookmarkStart w:id="31" w:name="examen-civique-république-française"/>
    <w:p>
      <w:pPr>
        <w:pStyle w:val="Heading2"/>
      </w:pPr>
      <w:r>
        <w:t xml:space="preserve">Examen Civique République Française</w:t>
      </w:r>
    </w:p>
    <w:bookmarkStart w:id="20" w:name="objet"/>
    <w:p>
      <w:pPr>
        <w:pStyle w:val="Heading3"/>
      </w:pPr>
      <w:r>
        <w:t xml:space="preserve">1. Objet</w:t>
      </w:r>
    </w:p>
    <w:p>
      <w:pPr>
        <w:pStyle w:val="FirstParagraph"/>
      </w:pPr>
      <w:r>
        <w:t xml:space="preserve">La présente annexe définit les conditions dans lesquelles l’Éditeur traite les données personnelles pour le compte de l’Organisme conformément au Règlement (UE) 2016/679 (RGPD).</w:t>
      </w:r>
    </w:p>
    <w:bookmarkEnd w:id="20"/>
    <w:bookmarkStart w:id="21" w:name="qualité-des-parties"/>
    <w:p>
      <w:pPr>
        <w:pStyle w:val="Heading3"/>
      </w:pPr>
      <w:r>
        <w:t xml:space="preserve">2. Qualité des parties</w:t>
      </w:r>
    </w:p>
    <w:p>
      <w:pPr>
        <w:pStyle w:val="Compact"/>
        <w:numPr>
          <w:ilvl w:val="0"/>
          <w:numId w:val="1001"/>
        </w:numPr>
      </w:pPr>
      <w:r>
        <w:t xml:space="preserve">L’Organisme agit en qualité de Responsable de traitement.</w:t>
      </w:r>
    </w:p>
    <w:p>
      <w:pPr>
        <w:pStyle w:val="Compact"/>
        <w:numPr>
          <w:ilvl w:val="0"/>
          <w:numId w:val="1001"/>
        </w:numPr>
      </w:pPr>
      <w:r>
        <w:t xml:space="preserve">L’Éditeur agit en qualité de Sous-traitant.</w:t>
      </w:r>
    </w:p>
    <w:bookmarkEnd w:id="21"/>
    <w:bookmarkStart w:id="22" w:name="catégories-de-données-traitées"/>
    <w:p>
      <w:pPr>
        <w:pStyle w:val="Heading3"/>
      </w:pPr>
      <w:r>
        <w:t xml:space="preserve">3. Catégories de données traitées</w:t>
      </w:r>
    </w:p>
    <w:p>
      <w:pPr>
        <w:pStyle w:val="FirstParagraph"/>
      </w:pPr>
      <w:r>
        <w:t xml:space="preserve">Les données susceptibles d’être traitées sont :</w:t>
      </w:r>
    </w:p>
    <w:p>
      <w:pPr>
        <w:pStyle w:val="Compact"/>
        <w:numPr>
          <w:ilvl w:val="0"/>
          <w:numId w:val="1002"/>
        </w:numPr>
      </w:pPr>
      <w:r>
        <w:t xml:space="preserve">Nom et prénom ;</w:t>
      </w:r>
    </w:p>
    <w:p>
      <w:pPr>
        <w:pStyle w:val="Compact"/>
        <w:numPr>
          <w:ilvl w:val="0"/>
          <w:numId w:val="1002"/>
        </w:numPr>
      </w:pPr>
      <w:r>
        <w:t xml:space="preserve">Adresse e-mail ;</w:t>
      </w:r>
    </w:p>
    <w:p>
      <w:pPr>
        <w:pStyle w:val="Compact"/>
        <w:numPr>
          <w:ilvl w:val="0"/>
          <w:numId w:val="1002"/>
        </w:numPr>
      </w:pPr>
      <w:r>
        <w:t xml:space="preserve">Identifiant utilisateur ;</w:t>
      </w:r>
    </w:p>
    <w:p>
      <w:pPr>
        <w:pStyle w:val="Compact"/>
        <w:numPr>
          <w:ilvl w:val="0"/>
          <w:numId w:val="1002"/>
        </w:numPr>
      </w:pPr>
      <w:r>
        <w:t xml:space="preserve">Résultats aux exercices ;</w:t>
      </w:r>
    </w:p>
    <w:p>
      <w:pPr>
        <w:pStyle w:val="Compact"/>
        <w:numPr>
          <w:ilvl w:val="0"/>
          <w:numId w:val="1002"/>
        </w:numPr>
      </w:pPr>
      <w:r>
        <w:t xml:space="preserve">Progression pédagogique ;</w:t>
      </w:r>
    </w:p>
    <w:p>
      <w:pPr>
        <w:pStyle w:val="Compact"/>
        <w:numPr>
          <w:ilvl w:val="0"/>
          <w:numId w:val="1002"/>
        </w:numPr>
      </w:pPr>
      <w:r>
        <w:t xml:space="preserve">Statistiques d’utilisation ;</w:t>
      </w:r>
    </w:p>
    <w:p>
      <w:pPr>
        <w:pStyle w:val="Compact"/>
        <w:numPr>
          <w:ilvl w:val="0"/>
          <w:numId w:val="1002"/>
        </w:numPr>
      </w:pPr>
      <w:r>
        <w:t xml:space="preserve">Date de connexion ;</w:t>
      </w:r>
    </w:p>
    <w:p>
      <w:pPr>
        <w:pStyle w:val="Compact"/>
        <w:numPr>
          <w:ilvl w:val="0"/>
          <w:numId w:val="1002"/>
        </w:numPr>
      </w:pPr>
      <w:r>
        <w:t xml:space="preserve">Historique de formation.</w:t>
      </w:r>
    </w:p>
    <w:bookmarkEnd w:id="22"/>
    <w:bookmarkStart w:id="23" w:name="finalités-du-traitement"/>
    <w:p>
      <w:pPr>
        <w:pStyle w:val="Heading3"/>
      </w:pPr>
      <w:r>
        <w:t xml:space="preserve">4. Finalités du traitement</w:t>
      </w:r>
    </w:p>
    <w:p>
      <w:pPr>
        <w:pStyle w:val="FirstParagraph"/>
      </w:pPr>
      <w:r>
        <w:t xml:space="preserve">Les données sont traitées uniquement pour :</w:t>
      </w:r>
    </w:p>
    <w:p>
      <w:pPr>
        <w:pStyle w:val="Compact"/>
        <w:numPr>
          <w:ilvl w:val="0"/>
          <w:numId w:val="1003"/>
        </w:numPr>
      </w:pPr>
      <w:r>
        <w:t xml:space="preserve">fournir l’accès à la plateforme ;</w:t>
      </w:r>
    </w:p>
    <w:p>
      <w:pPr>
        <w:pStyle w:val="Compact"/>
        <w:numPr>
          <w:ilvl w:val="0"/>
          <w:numId w:val="1003"/>
        </w:numPr>
      </w:pPr>
      <w:r>
        <w:t xml:space="preserve">gérer les comptes utilisateurs ;</w:t>
      </w:r>
    </w:p>
    <w:p>
      <w:pPr>
        <w:pStyle w:val="Compact"/>
        <w:numPr>
          <w:ilvl w:val="0"/>
          <w:numId w:val="1003"/>
        </w:numPr>
      </w:pPr>
      <w:r>
        <w:t xml:space="preserve">suivre la progression des apprenants ;</w:t>
      </w:r>
    </w:p>
    <w:p>
      <w:pPr>
        <w:pStyle w:val="Compact"/>
        <w:numPr>
          <w:ilvl w:val="0"/>
          <w:numId w:val="1003"/>
        </w:numPr>
      </w:pPr>
      <w:r>
        <w:t xml:space="preserve">générer des statistiques pédagogiques ;</w:t>
      </w:r>
    </w:p>
    <w:p>
      <w:pPr>
        <w:pStyle w:val="Compact"/>
        <w:numPr>
          <w:ilvl w:val="0"/>
          <w:numId w:val="1003"/>
        </w:numPr>
      </w:pPr>
      <w:r>
        <w:t xml:space="preserve">assurer le support technique ;</w:t>
      </w:r>
    </w:p>
    <w:p>
      <w:pPr>
        <w:pStyle w:val="Compact"/>
        <w:numPr>
          <w:ilvl w:val="0"/>
          <w:numId w:val="1003"/>
        </w:numPr>
      </w:pPr>
      <w:r>
        <w:t xml:space="preserve">sécuriser la plateforme.</w:t>
      </w:r>
    </w:p>
    <w:bookmarkEnd w:id="23"/>
    <w:bookmarkStart w:id="24" w:name="durée-de-conservation"/>
    <w:p>
      <w:pPr>
        <w:pStyle w:val="Heading3"/>
      </w:pPr>
      <w:r>
        <w:t xml:space="preserve">5. Durée de conservation</w:t>
      </w:r>
    </w:p>
    <w:p>
      <w:pPr>
        <w:pStyle w:val="FirstParagraph"/>
      </w:pPr>
      <w:r>
        <w:t xml:space="preserve">Les données sont conservées pendant toute la durée du contrat puis :</w:t>
      </w:r>
    </w:p>
    <w:p>
      <w:pPr>
        <w:pStyle w:val="Compact"/>
        <w:numPr>
          <w:ilvl w:val="0"/>
          <w:numId w:val="1004"/>
        </w:numPr>
      </w:pPr>
      <w:r>
        <w:t xml:space="preserve">30 jours pour permettre leur export ;</w:t>
      </w:r>
    </w:p>
    <w:p>
      <w:pPr>
        <w:pStyle w:val="Compact"/>
        <w:numPr>
          <w:ilvl w:val="0"/>
          <w:numId w:val="1004"/>
        </w:numPr>
      </w:pPr>
      <w:r>
        <w:t xml:space="preserve">suppression ou anonymisation à l’issue de ce délai sauf obligation légale contraire.</w:t>
      </w:r>
    </w:p>
    <w:bookmarkEnd w:id="24"/>
    <w:bookmarkStart w:id="25" w:name="obligations-du-sous-traitant"/>
    <w:p>
      <w:pPr>
        <w:pStyle w:val="Heading3"/>
      </w:pPr>
      <w:r>
        <w:t xml:space="preserve">6. Obligations du Sous-traitant</w:t>
      </w:r>
    </w:p>
    <w:p>
      <w:pPr>
        <w:pStyle w:val="FirstParagraph"/>
      </w:pPr>
      <w:r>
        <w:t xml:space="preserve">L’Éditeur s’engage à :</w:t>
      </w:r>
    </w:p>
    <w:p>
      <w:pPr>
        <w:pStyle w:val="Compact"/>
        <w:numPr>
          <w:ilvl w:val="0"/>
          <w:numId w:val="1005"/>
        </w:numPr>
      </w:pPr>
      <w:r>
        <w:t xml:space="preserve">traiter les données uniquement sur instruction du Responsable de traitement ;</w:t>
      </w:r>
    </w:p>
    <w:p>
      <w:pPr>
        <w:pStyle w:val="Compact"/>
        <w:numPr>
          <w:ilvl w:val="0"/>
          <w:numId w:val="1005"/>
        </w:numPr>
      </w:pPr>
      <w:r>
        <w:t xml:space="preserve">garantir la confidentialité des données ;</w:t>
      </w:r>
    </w:p>
    <w:p>
      <w:pPr>
        <w:pStyle w:val="Compact"/>
        <w:numPr>
          <w:ilvl w:val="0"/>
          <w:numId w:val="1005"/>
        </w:numPr>
      </w:pPr>
      <w:r>
        <w:t xml:space="preserve">mettre en œuvre des mesures techniques et organisationnelles appropriées ;</w:t>
      </w:r>
    </w:p>
    <w:p>
      <w:pPr>
        <w:pStyle w:val="Compact"/>
        <w:numPr>
          <w:ilvl w:val="0"/>
          <w:numId w:val="1005"/>
        </w:numPr>
      </w:pPr>
      <w:r>
        <w:t xml:space="preserve">notifier toute violation de données dans les meilleurs délais ;</w:t>
      </w:r>
    </w:p>
    <w:p>
      <w:pPr>
        <w:pStyle w:val="Compact"/>
        <w:numPr>
          <w:ilvl w:val="0"/>
          <w:numId w:val="1005"/>
        </w:numPr>
      </w:pPr>
      <w:r>
        <w:t xml:space="preserve">assister l’Organisme dans le respect du RGPD.</w:t>
      </w:r>
    </w:p>
    <w:bookmarkEnd w:id="25"/>
    <w:bookmarkStart w:id="26" w:name="sécurité"/>
    <w:p>
      <w:pPr>
        <w:pStyle w:val="Heading3"/>
      </w:pPr>
      <w:r>
        <w:t xml:space="preserve">7. Sécurité</w:t>
      </w:r>
    </w:p>
    <w:p>
      <w:pPr>
        <w:pStyle w:val="FirstParagraph"/>
      </w:pPr>
      <w:r>
        <w:t xml:space="preserve">L’Éditeur met notamment en œuvre :</w:t>
      </w:r>
    </w:p>
    <w:p>
      <w:pPr>
        <w:pStyle w:val="Compact"/>
        <w:numPr>
          <w:ilvl w:val="0"/>
          <w:numId w:val="1006"/>
        </w:numPr>
      </w:pPr>
      <w:r>
        <w:t xml:space="preserve">chiffrement HTTPS/TLS ;</w:t>
      </w:r>
    </w:p>
    <w:p>
      <w:pPr>
        <w:pStyle w:val="Compact"/>
        <w:numPr>
          <w:ilvl w:val="0"/>
          <w:numId w:val="1006"/>
        </w:numPr>
      </w:pPr>
      <w:r>
        <w:t xml:space="preserve">authentification sécurisée ;</w:t>
      </w:r>
    </w:p>
    <w:p>
      <w:pPr>
        <w:pStyle w:val="Compact"/>
        <w:numPr>
          <w:ilvl w:val="0"/>
          <w:numId w:val="1006"/>
        </w:numPr>
      </w:pPr>
      <w:r>
        <w:t xml:space="preserve">sauvegardes régulières ;</w:t>
      </w:r>
    </w:p>
    <w:p>
      <w:pPr>
        <w:pStyle w:val="Compact"/>
        <w:numPr>
          <w:ilvl w:val="0"/>
          <w:numId w:val="1006"/>
        </w:numPr>
      </w:pPr>
      <w:r>
        <w:t xml:space="preserve">journalisation des accès ;</w:t>
      </w:r>
    </w:p>
    <w:p>
      <w:pPr>
        <w:pStyle w:val="Compact"/>
        <w:numPr>
          <w:ilvl w:val="0"/>
          <w:numId w:val="1006"/>
        </w:numPr>
      </w:pPr>
      <w:r>
        <w:t xml:space="preserve">protection contre les accès non autorisés.</w:t>
      </w:r>
    </w:p>
    <w:bookmarkEnd w:id="26"/>
    <w:bookmarkStart w:id="27" w:name="sous-traitance-ultérieure"/>
    <w:p>
      <w:pPr>
        <w:pStyle w:val="Heading3"/>
      </w:pPr>
      <w:r>
        <w:t xml:space="preserve">8. Sous-traitance ultérieure</w:t>
      </w:r>
    </w:p>
    <w:p>
      <w:pPr>
        <w:pStyle w:val="FirstParagraph"/>
      </w:pPr>
      <w:r>
        <w:t xml:space="preserve">L’Éditeur peut recourir à des prestataires techniques (hébergement, sauvegarde, messagerie) sous réserve qu’ils présentent des garanties suffisantes de conformité RGPD.</w:t>
      </w:r>
    </w:p>
    <w:bookmarkEnd w:id="27"/>
    <w:bookmarkStart w:id="28" w:name="droits-des-personnes-concernées"/>
    <w:p>
      <w:pPr>
        <w:pStyle w:val="Heading3"/>
      </w:pPr>
      <w:r>
        <w:t xml:space="preserve">9. Droits des personnes concernées</w:t>
      </w:r>
    </w:p>
    <w:p>
      <w:pPr>
        <w:pStyle w:val="FirstParagraph"/>
      </w:pPr>
      <w:r>
        <w:t xml:space="preserve">L’Éditeur assiste l’Organisme afin de répondre aux demandes :</w:t>
      </w:r>
    </w:p>
    <w:p>
      <w:pPr>
        <w:pStyle w:val="Compact"/>
        <w:numPr>
          <w:ilvl w:val="0"/>
          <w:numId w:val="1007"/>
        </w:numPr>
      </w:pPr>
      <w:r>
        <w:t xml:space="preserve">d’accès ;</w:t>
      </w:r>
    </w:p>
    <w:p>
      <w:pPr>
        <w:pStyle w:val="Compact"/>
        <w:numPr>
          <w:ilvl w:val="0"/>
          <w:numId w:val="1007"/>
        </w:numPr>
      </w:pPr>
      <w:r>
        <w:t xml:space="preserve">de rectification ;</w:t>
      </w:r>
    </w:p>
    <w:p>
      <w:pPr>
        <w:pStyle w:val="Compact"/>
        <w:numPr>
          <w:ilvl w:val="0"/>
          <w:numId w:val="1007"/>
        </w:numPr>
      </w:pPr>
      <w:r>
        <w:t xml:space="preserve">d’effacement ;</w:t>
      </w:r>
    </w:p>
    <w:p>
      <w:pPr>
        <w:pStyle w:val="Compact"/>
        <w:numPr>
          <w:ilvl w:val="0"/>
          <w:numId w:val="1007"/>
        </w:numPr>
      </w:pPr>
      <w:r>
        <w:t xml:space="preserve">de limitation ;</w:t>
      </w:r>
    </w:p>
    <w:p>
      <w:pPr>
        <w:pStyle w:val="Compact"/>
        <w:numPr>
          <w:ilvl w:val="0"/>
          <w:numId w:val="1007"/>
        </w:numPr>
      </w:pPr>
      <w:r>
        <w:t xml:space="preserve">d’opposition ;</w:t>
      </w:r>
    </w:p>
    <w:p>
      <w:pPr>
        <w:pStyle w:val="Compact"/>
        <w:numPr>
          <w:ilvl w:val="0"/>
          <w:numId w:val="1007"/>
        </w:numPr>
      </w:pPr>
      <w:r>
        <w:t xml:space="preserve">de portabilité.</w:t>
      </w:r>
    </w:p>
    <w:bookmarkEnd w:id="28"/>
    <w:bookmarkStart w:id="29" w:name="audit"/>
    <w:p>
      <w:pPr>
        <w:pStyle w:val="Heading3"/>
      </w:pPr>
      <w:r>
        <w:t xml:space="preserve">10. Audit</w:t>
      </w:r>
    </w:p>
    <w:p>
      <w:pPr>
        <w:pStyle w:val="FirstParagraph"/>
      </w:pPr>
      <w:r>
        <w:t xml:space="preserve">L’Organisme peut demander des informations raisonnables permettant de vérifier la conformité du Sous-traitant au RGPD.</w:t>
      </w:r>
    </w:p>
    <w:bookmarkEnd w:id="29"/>
    <w:bookmarkStart w:id="30" w:name="restitution-ou-suppression"/>
    <w:p>
      <w:pPr>
        <w:pStyle w:val="Heading3"/>
      </w:pPr>
      <w:r>
        <w:t xml:space="preserve">11. Restitution ou suppression</w:t>
      </w:r>
    </w:p>
    <w:p>
      <w:pPr>
        <w:pStyle w:val="FirstParagraph"/>
      </w:pPr>
      <w:r>
        <w:t xml:space="preserve">À l’expiration du contrat, les données seront :</w:t>
      </w:r>
    </w:p>
    <w:p>
      <w:pPr>
        <w:pStyle w:val="Compact"/>
        <w:numPr>
          <w:ilvl w:val="0"/>
          <w:numId w:val="1008"/>
        </w:numPr>
      </w:pPr>
      <w:r>
        <w:t xml:space="preserve">restituées sur demande ;</w:t>
      </w:r>
    </w:p>
    <w:p>
      <w:pPr>
        <w:pStyle w:val="Compact"/>
        <w:numPr>
          <w:ilvl w:val="0"/>
          <w:numId w:val="1008"/>
        </w:numPr>
      </w:pPr>
      <w:r>
        <w:t xml:space="preserve">ou supprimées conformément aux obligations légales.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2026-06-13T11:44:28Z</dcterms:created>
  <dcterms:modified xsi:type="dcterms:W3CDTF">2026-06-13T11:44:28Z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